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852898">
        <w:rPr>
          <w:rFonts w:ascii="宋体" w:hAnsi="宋体" w:hint="eastAsia"/>
          <w:color w:val="FF0000"/>
          <w:sz w:val="36"/>
          <w:szCs w:val="30"/>
        </w:rPr>
        <w:t>7</w:t>
      </w:r>
    </w:p>
    <w:p w:rsidR="001E0411" w:rsidRPr="00E007BB" w:rsidRDefault="001E0411" w:rsidP="001E0411">
      <w:pPr>
        <w:spacing w:line="700" w:lineRule="exact"/>
        <w:ind w:firstLineChars="486" w:firstLine="1750"/>
        <w:rPr>
          <w:rFonts w:ascii="宋体" w:hAnsi="宋体"/>
          <w:color w:val="FF0000"/>
          <w:sz w:val="36"/>
          <w:szCs w:val="36"/>
        </w:rPr>
      </w:pPr>
      <w:r w:rsidRPr="009318B0">
        <w:rPr>
          <w:rFonts w:ascii="宋体" w:hAnsi="宋体" w:hint="eastAsia"/>
          <w:color w:val="FF0000"/>
          <w:sz w:val="36"/>
          <w:szCs w:val="30"/>
        </w:rPr>
        <w:t>项目名称：</w:t>
      </w:r>
      <w:r w:rsidR="00852898" w:rsidRPr="00852898">
        <w:rPr>
          <w:rFonts w:ascii="宋体" w:hAnsi="宋体" w:hint="eastAsia"/>
          <w:color w:val="FF0000"/>
          <w:sz w:val="36"/>
          <w:szCs w:val="36"/>
        </w:rPr>
        <w:t>环氧乙烷灭菌器</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EC5B48" w:rsidP="001E0411">
      <w:pPr>
        <w:pStyle w:val="10"/>
        <w:tabs>
          <w:tab w:val="right" w:leader="dot" w:pos="8306"/>
        </w:tabs>
        <w:spacing w:line="480" w:lineRule="auto"/>
        <w:rPr>
          <w:rFonts w:ascii="宋体" w:hAnsi="宋体"/>
          <w:szCs w:val="22"/>
          <w:lang w:eastAsia="en-US" w:bidi="en-US"/>
        </w:rPr>
      </w:pPr>
      <w:r w:rsidRPr="00EC5B48">
        <w:rPr>
          <w:rFonts w:ascii="宋体" w:hAnsi="宋体" w:hint="eastAsia"/>
        </w:rPr>
        <w:fldChar w:fldCharType="begin"/>
      </w:r>
      <w:r w:rsidR="001E0411" w:rsidRPr="009318B0">
        <w:rPr>
          <w:rFonts w:ascii="宋体" w:hAnsi="宋体" w:hint="eastAsia"/>
        </w:rPr>
        <w:instrText xml:space="preserve">TOC \o "1-2" \h \u </w:instrText>
      </w:r>
      <w:r w:rsidRPr="00EC5B48">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EC5B48"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EC5B48"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EC5B48"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EC5B48"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EC5B48"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EC5B48"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EC5B48"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E007BB">
      <w:pPr>
        <w:spacing w:line="700" w:lineRule="exact"/>
        <w:ind w:firstLineChars="486" w:firstLine="1166"/>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852898" w:rsidRPr="00852898">
        <w:rPr>
          <w:rFonts w:ascii="宋体" w:hAnsi="宋体" w:hint="eastAsia"/>
          <w:color w:val="FF0000"/>
          <w:sz w:val="36"/>
          <w:szCs w:val="36"/>
        </w:rPr>
        <w:t>环氧乙烷灭菌器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E007BB" w:rsidRDefault="00852898" w:rsidP="00E007BB">
            <w:pPr>
              <w:spacing w:line="700" w:lineRule="exact"/>
              <w:jc w:val="center"/>
              <w:rPr>
                <w:rFonts w:ascii="宋体" w:hAnsi="宋体"/>
                <w:color w:val="FF0000"/>
                <w:sz w:val="36"/>
                <w:szCs w:val="36"/>
              </w:rPr>
            </w:pPr>
            <w:r w:rsidRPr="00852898">
              <w:rPr>
                <w:rFonts w:ascii="宋体" w:hAnsi="宋体" w:hint="eastAsia"/>
                <w:color w:val="FF0000"/>
                <w:sz w:val="36"/>
                <w:szCs w:val="36"/>
              </w:rPr>
              <w:t>环氧乙烷灭菌器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1E0411" w:rsidP="002A4553">
            <w:pPr>
              <w:widowControl/>
              <w:jc w:val="center"/>
              <w:rPr>
                <w:rFonts w:ascii="宋体" w:hAnsi="宋体" w:cs="宋体"/>
                <w:color w:val="FF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E007BB">
            <w:pPr>
              <w:widowControl/>
              <w:jc w:val="center"/>
              <w:rPr>
                <w:rFonts w:ascii="宋体" w:hAnsi="宋体" w:cs="宋体"/>
                <w:color w:val="FF0000"/>
                <w:kern w:val="0"/>
                <w:sz w:val="28"/>
                <w:szCs w:val="28"/>
              </w:rPr>
            </w:pPr>
            <w:r>
              <w:rPr>
                <w:rFonts w:ascii="宋体" w:hAnsi="宋体" w:cs="宋体" w:hint="eastAsia"/>
                <w:color w:val="FF0000"/>
                <w:kern w:val="0"/>
                <w:sz w:val="28"/>
                <w:szCs w:val="28"/>
              </w:rPr>
              <w:t>1</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421AD1">
        <w:rPr>
          <w:rFonts w:ascii="宋体" w:hAnsi="宋体" w:hint="eastAsia"/>
          <w:color w:val="FF0000"/>
          <w:sz w:val="24"/>
        </w:rPr>
        <w:t>28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w:t>
      </w:r>
      <w:r w:rsidRPr="009318B0">
        <w:rPr>
          <w:rFonts w:ascii="宋体" w:hAnsi="宋体" w:hint="eastAsia"/>
          <w:sz w:val="24"/>
        </w:rPr>
        <w:lastRenderedPageBreak/>
        <w:t>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421AD1">
        <w:rPr>
          <w:rFonts w:ascii="宋体" w:hAnsi="宋体" w:hint="eastAsia"/>
          <w:b/>
          <w:color w:val="FF0000"/>
          <w:sz w:val="24"/>
        </w:rPr>
        <w:t>7</w:t>
      </w:r>
      <w:r w:rsidRPr="009318B0">
        <w:rPr>
          <w:rFonts w:ascii="宋体" w:hAnsi="宋体" w:hint="eastAsia"/>
          <w:b/>
          <w:color w:val="FF0000"/>
          <w:sz w:val="24"/>
        </w:rPr>
        <w:t xml:space="preserve">　月　</w:t>
      </w:r>
      <w:r w:rsidR="00421AD1">
        <w:rPr>
          <w:rFonts w:ascii="宋体" w:hAnsi="宋体" w:hint="eastAsia"/>
          <w:b/>
          <w:color w:val="FF0000"/>
          <w:sz w:val="24"/>
        </w:rPr>
        <w:t>3</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421AD1">
        <w:rPr>
          <w:rFonts w:ascii="宋体" w:hAnsi="宋体" w:hint="eastAsia"/>
          <w:b/>
          <w:color w:val="FF0000"/>
          <w:sz w:val="24"/>
        </w:rPr>
        <w:t>7</w:t>
      </w:r>
      <w:r w:rsidRPr="009318B0">
        <w:rPr>
          <w:rFonts w:ascii="宋体" w:hAnsi="宋体" w:hint="eastAsia"/>
          <w:b/>
          <w:color w:val="FF0000"/>
          <w:sz w:val="24"/>
        </w:rPr>
        <w:t xml:space="preserve">　月　</w:t>
      </w:r>
      <w:r w:rsidR="00421AD1">
        <w:rPr>
          <w:rFonts w:ascii="宋体" w:hAnsi="宋体" w:hint="eastAsia"/>
          <w:b/>
          <w:color w:val="FF0000"/>
          <w:sz w:val="24"/>
        </w:rPr>
        <w:t>4</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007BB" w:rsidRPr="00E007BB" w:rsidRDefault="001C0397" w:rsidP="00E007BB">
      <w:pPr>
        <w:spacing w:line="360" w:lineRule="auto"/>
        <w:rPr>
          <w:rFonts w:ascii="宋体" w:hAnsi="宋体"/>
          <w:b/>
          <w:color w:val="FF0000"/>
          <w:sz w:val="32"/>
          <w:szCs w:val="32"/>
        </w:rPr>
      </w:pPr>
      <w:r w:rsidRPr="001C0397">
        <w:rPr>
          <w:rFonts w:ascii="宋体" w:hAnsi="宋体" w:hint="eastAsia"/>
          <w:b/>
          <w:color w:val="FF0000"/>
          <w:sz w:val="32"/>
          <w:szCs w:val="32"/>
        </w:rPr>
        <w:t>环氧乙烷灭菌器</w:t>
      </w:r>
      <w:r w:rsidR="00E007BB" w:rsidRPr="00E007BB">
        <w:rPr>
          <w:rFonts w:ascii="宋体" w:hAnsi="宋体" w:hint="eastAsia"/>
          <w:b/>
          <w:color w:val="FF0000"/>
          <w:sz w:val="32"/>
          <w:szCs w:val="32"/>
        </w:rPr>
        <w:t>招标技术参数</w:t>
      </w:r>
      <w:r w:rsidR="00E007BB">
        <w:rPr>
          <w:rFonts w:ascii="宋体" w:hAnsi="宋体" w:hint="eastAsia"/>
          <w:b/>
          <w:color w:val="FF0000"/>
          <w:sz w:val="32"/>
          <w:szCs w:val="32"/>
        </w:rPr>
        <w:t>：</w:t>
      </w:r>
    </w:p>
    <w:tbl>
      <w:tblPr>
        <w:tblW w:w="88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7638"/>
      </w:tblGrid>
      <w:tr w:rsidR="001C0397" w:rsidTr="005702EC">
        <w:trPr>
          <w:trHeight w:val="625"/>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rPr>
                <w:rFonts w:ascii="宋体" w:hAnsi="宋体"/>
                <w:bCs/>
                <w:szCs w:val="28"/>
              </w:rPr>
            </w:pPr>
            <w:r>
              <w:rPr>
                <w:rFonts w:ascii="宋体" w:hAnsi="宋体" w:hint="eastAsia"/>
                <w:bCs/>
                <w:szCs w:val="28"/>
              </w:rPr>
              <w:t>序号</w:t>
            </w:r>
          </w:p>
        </w:tc>
        <w:tc>
          <w:tcPr>
            <w:tcW w:w="7638" w:type="dxa"/>
            <w:vMerge w:val="restart"/>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rPr>
                <w:rFonts w:ascii="宋体" w:hAnsi="宋体"/>
                <w:bCs/>
                <w:szCs w:val="28"/>
              </w:rPr>
            </w:pPr>
            <w:r>
              <w:rPr>
                <w:rFonts w:ascii="宋体" w:hAnsi="宋体" w:hint="eastAsia"/>
                <w:bCs/>
                <w:szCs w:val="28"/>
              </w:rPr>
              <w:t>设备参数及详细配置要求</w:t>
            </w:r>
          </w:p>
        </w:tc>
      </w:tr>
      <w:tr w:rsidR="001C0397" w:rsidTr="005702EC">
        <w:trPr>
          <w:trHeight w:val="624"/>
        </w:trPr>
        <w:tc>
          <w:tcPr>
            <w:tcW w:w="1210" w:type="dxa"/>
            <w:vMerge/>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rPr>
                <w:rFonts w:ascii="宋体" w:hAnsi="宋体"/>
                <w:bCs/>
                <w:szCs w:val="28"/>
              </w:rPr>
            </w:pPr>
          </w:p>
        </w:tc>
        <w:tc>
          <w:tcPr>
            <w:tcW w:w="7638" w:type="dxa"/>
            <w:vMerge/>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rPr>
                <w:rFonts w:ascii="宋体" w:hAnsi="宋体"/>
                <w:bCs/>
                <w:szCs w:val="28"/>
              </w:rPr>
            </w:pPr>
          </w:p>
        </w:tc>
      </w:tr>
      <w:tr w:rsidR="001C0397" w:rsidTr="005702EC">
        <w:trPr>
          <w:trHeight w:val="46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1</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用途：采用纯环氧乙烷气体为灭菌剂，在较低温度下对各种微生物、病毒、芽胞、细菌、繁殖体等均可杀灭，可穿透微孔而达到物品的深部，而对消毒物品无损害或损害甚微。须提供灭菌性能检测报告和卫生安全评价报告复印件。</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1.1</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★总容积：≥135L</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1.2</w:t>
            </w:r>
          </w:p>
        </w:tc>
        <w:tc>
          <w:tcPr>
            <w:tcW w:w="7638" w:type="dxa"/>
            <w:tcBorders>
              <w:top w:val="single" w:sz="4" w:space="0" w:color="auto"/>
              <w:left w:val="single" w:sz="4" w:space="0" w:color="auto"/>
              <w:bottom w:val="single" w:sz="4" w:space="0" w:color="auto"/>
              <w:right w:val="single" w:sz="4" w:space="0" w:color="auto"/>
            </w:tcBorders>
          </w:tcPr>
          <w:p w:rsidR="001C0397" w:rsidRDefault="001C0397" w:rsidP="005702EC">
            <w:pPr>
              <w:rPr>
                <w:rFonts w:ascii="宋体" w:hAnsi="宋体"/>
                <w:bCs/>
                <w:szCs w:val="28"/>
              </w:rPr>
            </w:pPr>
            <w:r>
              <w:rPr>
                <w:rFonts w:ascii="宋体" w:hAnsi="宋体" w:hint="eastAsia"/>
                <w:bCs/>
                <w:szCs w:val="28"/>
              </w:rPr>
              <w:t>腔体材质：采用优质航空铝材3003，厚度≥8mm，具有优越的导热性能，保证环氧乙烷保持100%气态。</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1.3</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腔体温度加热功率：≥1600W，预热升温速度快，加热膜均布，保证内室温度均匀。</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1.4</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腔体温度控制探头数量：≥1，高精度温度探头，分辨率为≤0.1℃，准确检测和控制灭菌温度。</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1.5</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主体保温：≥20mm橡塑海绵，具有导热系数低、防火性能好、抗老化能力强、无毒环保和外观高档质地柔软等特点。</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2</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密封门：单门</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2.1</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采用优质铝材YL12，厚度≥20mm。</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2.2</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★门开启方式：电动门升降门</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2.3</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门板加热功能：带加热膜，确保门板温度和内室温度一致，使灭菌物品受热均匀，保证灭菌效果。</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2.4</w:t>
            </w:r>
          </w:p>
        </w:tc>
        <w:tc>
          <w:tcPr>
            <w:tcW w:w="7638" w:type="dxa"/>
            <w:tcBorders>
              <w:top w:val="single" w:sz="4" w:space="0" w:color="auto"/>
              <w:left w:val="single" w:sz="4" w:space="0" w:color="auto"/>
              <w:bottom w:val="single" w:sz="4" w:space="0" w:color="auto"/>
              <w:right w:val="single" w:sz="4" w:space="0" w:color="auto"/>
            </w:tcBorders>
          </w:tcPr>
          <w:p w:rsidR="001C0397" w:rsidRDefault="001C0397" w:rsidP="005702EC">
            <w:pPr>
              <w:rPr>
                <w:rFonts w:ascii="宋体" w:hAnsi="宋体"/>
                <w:bCs/>
                <w:szCs w:val="28"/>
              </w:rPr>
            </w:pPr>
            <w:r>
              <w:rPr>
                <w:rFonts w:ascii="宋体" w:hAnsi="宋体" w:hint="eastAsia"/>
                <w:bCs/>
                <w:szCs w:val="28"/>
              </w:rPr>
              <w:t>门障碍开关：具有门障碍开关功能，当碰触障碍开关时，门自动下降，防止夹伤操作者和夹坏物品。</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3</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管路系统</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3.1</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真空系统：采用无油真空泵，流量≥130L/min，无需外置压缩气源系统。</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3.2</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动作阀门：采用气动阀，压缩气0.4-0.7MPa，动作400万次无故障，</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3.3</w:t>
            </w:r>
          </w:p>
        </w:tc>
        <w:tc>
          <w:tcPr>
            <w:tcW w:w="7638" w:type="dxa"/>
            <w:tcBorders>
              <w:top w:val="single" w:sz="4" w:space="0" w:color="auto"/>
              <w:left w:val="single" w:sz="4" w:space="0" w:color="auto"/>
              <w:bottom w:val="single" w:sz="4" w:space="0" w:color="auto"/>
              <w:right w:val="single" w:sz="4" w:space="0" w:color="auto"/>
            </w:tcBorders>
          </w:tcPr>
          <w:p w:rsidR="001C0397" w:rsidRDefault="001C0397" w:rsidP="005702EC">
            <w:pPr>
              <w:rPr>
                <w:rFonts w:ascii="宋体" w:hAnsi="宋体"/>
                <w:bCs/>
                <w:szCs w:val="28"/>
              </w:rPr>
            </w:pPr>
            <w:r>
              <w:rPr>
                <w:rFonts w:ascii="宋体" w:hAnsi="宋体" w:hint="eastAsia"/>
                <w:bCs/>
                <w:szCs w:val="28"/>
              </w:rPr>
              <w:t>加湿系统：双加湿阀精确控制加湿用水量，内置湿度传感器，保证灭菌湿度要求。</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3.4</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★EO气体加注系统：负压刺破气罐，使用一次性专用铝合金罐装100%纯环氧乙烷气体,采用穿刺气缸，内置空压机提供压缩空气。</w:t>
            </w:r>
          </w:p>
        </w:tc>
      </w:tr>
      <w:tr w:rsidR="001C0397" w:rsidTr="005702EC">
        <w:trPr>
          <w:trHeight w:val="572"/>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3.5</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压缩气系统：内置压缩气系统，无需外接压缩气气源。</w:t>
            </w:r>
          </w:p>
        </w:tc>
      </w:tr>
      <w:tr w:rsidR="001C0397" w:rsidTr="005702EC">
        <w:trPr>
          <w:trHeight w:val="467"/>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3.6</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压力传感器数量：产品设置压力传感器数量≥2个，当压力传感器1故障时,压力传感器2自动开始工作，保证设备安全性和操作者的安全。</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3.7</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空气过滤器：过滤精度小于等于0.2μm。</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4</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控制系统</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4.1</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操作系统：采用≥5.7寸彩色触摸屏，采用PLC控制系统。</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4.2</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触摸屏显示内容：灭菌过程的温度，压力，湿度，时间，循环模式，过程阶段，报警信息提示等，并提供实际界面照片</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4.3</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打印方式：报表方式。</w:t>
            </w:r>
          </w:p>
        </w:tc>
      </w:tr>
      <w:tr w:rsidR="001C0397" w:rsidTr="005702EC">
        <w:trPr>
          <w:trHeight w:val="27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4.4</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打印记录内容：程序名称、灭菌日期、灭菌起始结束时间和灭菌过程的压力、温度、湿度和阶段时间,报警代码等信息。</w:t>
            </w:r>
          </w:p>
        </w:tc>
      </w:tr>
      <w:tr w:rsidR="001C0397" w:rsidTr="005702EC">
        <w:trPr>
          <w:trHeight w:val="608"/>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5</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程序系统</w:t>
            </w:r>
          </w:p>
        </w:tc>
      </w:tr>
      <w:tr w:rsidR="001C0397" w:rsidTr="005702EC">
        <w:trPr>
          <w:trHeight w:val="606"/>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5.1</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程序数量：设有37℃和55℃两种程序，未运行程序前可随时切换灭菌温度,方便用户及时针对灭菌物品选择合适的灭菌温度。</w:t>
            </w:r>
          </w:p>
        </w:tc>
      </w:tr>
      <w:tr w:rsidR="001C0397" w:rsidTr="005702EC">
        <w:trPr>
          <w:trHeight w:val="599"/>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lastRenderedPageBreak/>
              <w:t>5.2</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断电记忆保持功能：停电后可以记忆灭菌信息，待恢复供电后继续工作无须重新启动程序。</w:t>
            </w:r>
          </w:p>
        </w:tc>
      </w:tr>
      <w:tr w:rsidR="001C0397" w:rsidTr="005702EC">
        <w:trPr>
          <w:trHeight w:val="607"/>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5.3</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开门通风功能：灭菌完成后,15分钟后开门,则按开门按钮后,进行一次通风处理,避免操作人员接触物品残留EO。</w:t>
            </w:r>
          </w:p>
        </w:tc>
      </w:tr>
      <w:tr w:rsidR="001C0397" w:rsidTr="005702EC">
        <w:trPr>
          <w:trHeight w:val="899"/>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5.4</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★负压工作系统：负压循环过程安全可靠，环氧乙烷进入机器期间和灭菌结束后的泄露率平均值分别小于0.840mg/m3和0.160mg/m3，并提供省级及以上检测机构出具的检测报告复印件。</w:t>
            </w:r>
          </w:p>
        </w:tc>
      </w:tr>
      <w:tr w:rsidR="001C0397" w:rsidTr="005702EC">
        <w:trPr>
          <w:trHeight w:val="727"/>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5.5</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门安全设置：程序在运转时，按下开门按钮，门不会被打开，防止误操作。</w:t>
            </w:r>
          </w:p>
        </w:tc>
      </w:tr>
      <w:tr w:rsidR="001C0397" w:rsidTr="005702EC">
        <w:trPr>
          <w:trHeight w:val="727"/>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5.6</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★废气排放：根据环境标准要求环氧乙烷首选大气排放。</w:t>
            </w:r>
          </w:p>
        </w:tc>
      </w:tr>
      <w:tr w:rsidR="001C0397" w:rsidTr="005702EC">
        <w:trPr>
          <w:trHeight w:val="727"/>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6</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rPr>
                <w:rFonts w:ascii="宋体" w:hAnsi="宋体"/>
                <w:bCs/>
                <w:szCs w:val="28"/>
              </w:rPr>
            </w:pPr>
            <w:r>
              <w:rPr>
                <w:rFonts w:ascii="宋体" w:hAnsi="宋体" w:hint="eastAsia"/>
                <w:bCs/>
                <w:szCs w:val="28"/>
              </w:rPr>
              <w:t>标准配置：</w:t>
            </w:r>
          </w:p>
          <w:p w:rsidR="001C0397" w:rsidRDefault="001C0397" w:rsidP="005702EC">
            <w:pPr>
              <w:ind w:firstLineChars="218" w:firstLine="458"/>
              <w:rPr>
                <w:rFonts w:ascii="宋体" w:hAnsi="宋体"/>
                <w:bCs/>
                <w:szCs w:val="28"/>
              </w:rPr>
            </w:pPr>
            <w:r>
              <w:rPr>
                <w:rFonts w:ascii="宋体" w:hAnsi="宋体" w:hint="eastAsia"/>
                <w:bCs/>
                <w:szCs w:val="28"/>
              </w:rPr>
              <w:t>主机               1台</w:t>
            </w:r>
          </w:p>
          <w:p w:rsidR="001C0397" w:rsidRDefault="001C0397" w:rsidP="005702EC">
            <w:pPr>
              <w:ind w:firstLineChars="218" w:firstLine="458"/>
              <w:rPr>
                <w:rFonts w:ascii="宋体" w:hAnsi="宋体"/>
                <w:bCs/>
                <w:szCs w:val="28"/>
              </w:rPr>
            </w:pPr>
            <w:r>
              <w:rPr>
                <w:rFonts w:ascii="宋体" w:hAnsi="宋体" w:hint="eastAsia"/>
                <w:bCs/>
                <w:szCs w:val="28"/>
              </w:rPr>
              <w:t>不锈钢篮筐            2个</w:t>
            </w:r>
          </w:p>
          <w:p w:rsidR="001C0397" w:rsidRDefault="001C0397" w:rsidP="005702EC">
            <w:pPr>
              <w:ind w:firstLineChars="218" w:firstLine="458"/>
              <w:rPr>
                <w:rFonts w:ascii="宋体" w:hAnsi="宋体"/>
                <w:bCs/>
                <w:szCs w:val="28"/>
              </w:rPr>
            </w:pPr>
            <w:r>
              <w:rPr>
                <w:rFonts w:ascii="宋体" w:hAnsi="宋体" w:hint="eastAsia"/>
                <w:bCs/>
                <w:szCs w:val="28"/>
              </w:rPr>
              <w:t>环氧乙烷气罐          3个</w:t>
            </w:r>
          </w:p>
          <w:p w:rsidR="001C0397" w:rsidRDefault="001C0397" w:rsidP="005702EC">
            <w:pPr>
              <w:ind w:firstLineChars="218" w:firstLine="458"/>
              <w:rPr>
                <w:rFonts w:ascii="宋体" w:hAnsi="宋体"/>
                <w:bCs/>
                <w:szCs w:val="28"/>
              </w:rPr>
            </w:pPr>
            <w:r>
              <w:rPr>
                <w:rFonts w:ascii="宋体" w:hAnsi="宋体" w:hint="eastAsia"/>
                <w:bCs/>
                <w:szCs w:val="28"/>
              </w:rPr>
              <w:t>接头                  2个</w:t>
            </w:r>
          </w:p>
          <w:p w:rsidR="001C0397" w:rsidRDefault="001C0397" w:rsidP="005702EC">
            <w:pPr>
              <w:ind w:firstLineChars="218" w:firstLine="458"/>
              <w:rPr>
                <w:rFonts w:ascii="宋体" w:hAnsi="宋体"/>
                <w:bCs/>
                <w:szCs w:val="28"/>
              </w:rPr>
            </w:pPr>
            <w:r>
              <w:rPr>
                <w:rFonts w:ascii="宋体" w:hAnsi="宋体" w:hint="eastAsia"/>
                <w:bCs/>
                <w:szCs w:val="28"/>
              </w:rPr>
              <w:t>卡箍组件              2个</w:t>
            </w:r>
          </w:p>
          <w:p w:rsidR="001C0397" w:rsidRDefault="001C0397" w:rsidP="005702EC">
            <w:pPr>
              <w:ind w:firstLineChars="218" w:firstLine="458"/>
              <w:rPr>
                <w:rFonts w:ascii="宋体" w:hAnsi="宋体"/>
                <w:bCs/>
                <w:szCs w:val="28"/>
              </w:rPr>
            </w:pPr>
            <w:r>
              <w:rPr>
                <w:rFonts w:ascii="宋体" w:hAnsi="宋体" w:hint="eastAsia"/>
                <w:bCs/>
                <w:szCs w:val="28"/>
              </w:rPr>
              <w:t>金属波纹管            1个</w:t>
            </w:r>
          </w:p>
          <w:p w:rsidR="001C0397" w:rsidRDefault="001C0397" w:rsidP="005702EC">
            <w:pPr>
              <w:ind w:firstLineChars="218" w:firstLine="458"/>
              <w:rPr>
                <w:rFonts w:ascii="宋体" w:hAnsi="宋体"/>
                <w:bCs/>
                <w:szCs w:val="28"/>
              </w:rPr>
            </w:pPr>
            <w:r>
              <w:rPr>
                <w:rFonts w:ascii="宋体" w:hAnsi="宋体" w:hint="eastAsia"/>
                <w:bCs/>
                <w:szCs w:val="28"/>
              </w:rPr>
              <w:t>单路多功能控制柜      1个</w:t>
            </w:r>
          </w:p>
        </w:tc>
      </w:tr>
      <w:tr w:rsidR="001C0397" w:rsidTr="005702EC">
        <w:trPr>
          <w:trHeight w:val="727"/>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ind w:firstLineChars="218" w:firstLine="458"/>
              <w:jc w:val="center"/>
              <w:rPr>
                <w:rFonts w:ascii="宋体" w:hAnsi="宋体"/>
                <w:bCs/>
                <w:szCs w:val="28"/>
              </w:rPr>
            </w:pPr>
            <w:r>
              <w:rPr>
                <w:rFonts w:ascii="宋体" w:hAnsi="宋体" w:hint="eastAsia"/>
                <w:bCs/>
                <w:szCs w:val="28"/>
              </w:rPr>
              <w:t>7</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rPr>
                <w:rFonts w:ascii="宋体" w:hAnsi="宋体"/>
                <w:bCs/>
                <w:szCs w:val="28"/>
              </w:rPr>
            </w:pPr>
            <w:r>
              <w:rPr>
                <w:rFonts w:ascii="宋体" w:hAnsi="宋体" w:hint="eastAsia"/>
                <w:bCs/>
                <w:szCs w:val="28"/>
              </w:rPr>
              <w:t>兼容性：控制系统、真空泵、压力传感器、计量器、电磁阀等关键硬件具备兼容性流畅，可升级维护。</w:t>
            </w:r>
          </w:p>
        </w:tc>
      </w:tr>
      <w:tr w:rsidR="001C0397" w:rsidTr="005702EC">
        <w:trPr>
          <w:trHeight w:val="727"/>
        </w:trPr>
        <w:tc>
          <w:tcPr>
            <w:tcW w:w="1210"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pStyle w:val="a5"/>
              <w:spacing w:line="440" w:lineRule="exact"/>
              <w:outlineLvl w:val="0"/>
              <w:rPr>
                <w:rFonts w:hAnsi="宋体"/>
                <w:bCs/>
                <w:szCs w:val="28"/>
              </w:rPr>
            </w:pPr>
            <w:r>
              <w:rPr>
                <w:rFonts w:hAnsi="宋体" w:hint="eastAsia"/>
                <w:bCs/>
                <w:szCs w:val="28"/>
              </w:rPr>
              <w:t>辅助设备</w:t>
            </w:r>
          </w:p>
        </w:tc>
        <w:tc>
          <w:tcPr>
            <w:tcW w:w="7638" w:type="dxa"/>
            <w:tcBorders>
              <w:top w:val="single" w:sz="4" w:space="0" w:color="auto"/>
              <w:left w:val="single" w:sz="4" w:space="0" w:color="auto"/>
              <w:bottom w:val="single" w:sz="4" w:space="0" w:color="auto"/>
              <w:right w:val="single" w:sz="4" w:space="0" w:color="auto"/>
            </w:tcBorders>
            <w:vAlign w:val="center"/>
          </w:tcPr>
          <w:p w:rsidR="001C0397" w:rsidRDefault="001C0397" w:rsidP="005702EC">
            <w:pPr>
              <w:widowControl/>
              <w:autoSpaceDE w:val="0"/>
              <w:autoSpaceDN w:val="0"/>
              <w:adjustRightInd w:val="0"/>
              <w:jc w:val="left"/>
              <w:textAlignment w:val="center"/>
              <w:rPr>
                <w:rFonts w:ascii="宋体" w:hAnsi="宋体"/>
                <w:bCs/>
                <w:szCs w:val="28"/>
              </w:rPr>
            </w:pPr>
            <w:r>
              <w:rPr>
                <w:rFonts w:ascii="宋体" w:hAnsi="宋体" w:hint="eastAsia"/>
                <w:bCs/>
                <w:szCs w:val="28"/>
                <w:lang w:val="zh-CN"/>
              </w:rPr>
              <w:t>必须提供同厂家的环境监测系统</w:t>
            </w:r>
          </w:p>
        </w:tc>
      </w:tr>
    </w:tbl>
    <w:p w:rsidR="00E007BB" w:rsidRPr="001C0397" w:rsidRDefault="00E007BB" w:rsidP="00E007BB">
      <w:pPr>
        <w:spacing w:line="560" w:lineRule="exact"/>
        <w:ind w:leftChars="15" w:left="434" w:hangingChars="112" w:hanging="403"/>
        <w:rPr>
          <w:rFonts w:ascii="宋体" w:hAnsi="宋体"/>
          <w:color w:val="FF0000"/>
          <w:spacing w:val="20"/>
          <w:sz w:val="32"/>
          <w:szCs w:val="32"/>
        </w:rPr>
      </w:pPr>
    </w:p>
    <w:p w:rsidR="00E007BB" w:rsidRPr="00E007BB" w:rsidRDefault="00E007BB" w:rsidP="00E007BB">
      <w:pPr>
        <w:spacing w:line="360" w:lineRule="auto"/>
        <w:ind w:left="900" w:hangingChars="250" w:hanging="900"/>
        <w:rPr>
          <w:rFonts w:ascii="宋体" w:hAnsi="宋体"/>
          <w:color w:val="FF0000"/>
          <w:spacing w:val="20"/>
          <w:sz w:val="32"/>
          <w:szCs w:val="32"/>
        </w:rPr>
      </w:pPr>
    </w:p>
    <w:p w:rsidR="00F572E4" w:rsidRPr="00E007BB" w:rsidRDefault="00F572E4" w:rsidP="00F572E4">
      <w:pPr>
        <w:spacing w:line="360" w:lineRule="auto"/>
        <w:rPr>
          <w:rFonts w:ascii="宋体" w:hAnsi="宋体"/>
          <w:color w:val="FF0000"/>
          <w:sz w:val="32"/>
          <w:szCs w:val="32"/>
        </w:rPr>
      </w:pPr>
    </w:p>
    <w:p w:rsidR="0071532E" w:rsidRPr="00064B4C" w:rsidRDefault="0071532E" w:rsidP="00EA0F56">
      <w:pPr>
        <w:spacing w:line="360" w:lineRule="auto"/>
        <w:rPr>
          <w:rFonts w:ascii="宋体" w:hAnsi="宋体"/>
          <w:color w:val="FF0000"/>
          <w:sz w:val="32"/>
          <w:szCs w:val="32"/>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421" w:rsidRDefault="008F2421" w:rsidP="004538CF">
      <w:r>
        <w:separator/>
      </w:r>
    </w:p>
  </w:endnote>
  <w:endnote w:type="continuationSeparator" w:id="1">
    <w:p w:rsidR="008F2421" w:rsidRDefault="008F2421"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C5B48">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C5B48">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E93C9A">
      <w:rPr>
        <w:rStyle w:val="aa"/>
        <w:rFonts w:ascii="宋体"/>
        <w:noProof/>
        <w:sz w:val="21"/>
        <w:szCs w:val="21"/>
      </w:rPr>
      <w:t>- 3 -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C5B48">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C5B48">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E93C9A">
      <w:rPr>
        <w:rStyle w:val="aa"/>
        <w:rFonts w:ascii="宋体" w:hAnsi="宋体"/>
        <w:noProof/>
        <w:sz w:val="21"/>
        <w:szCs w:val="21"/>
      </w:rPr>
      <w:t>- 16 -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C5B48">
    <w:pPr>
      <w:pStyle w:val="a7"/>
      <w:jc w:val="center"/>
    </w:pPr>
    <w:fldSimple w:instr=" PAGE   \* MERGEFORMAT ">
      <w:r w:rsidR="00E93C9A" w:rsidRPr="00E93C9A">
        <w:rPr>
          <w:noProof/>
          <w:lang w:val="zh-CN"/>
        </w:rPr>
        <w:t>23</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421" w:rsidRDefault="008F2421" w:rsidP="004538CF">
      <w:r>
        <w:separator/>
      </w:r>
    </w:p>
  </w:footnote>
  <w:footnote w:type="continuationSeparator" w:id="1">
    <w:p w:rsidR="008F2421" w:rsidRDefault="008F2421"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64B4C"/>
    <w:rsid w:val="00085B85"/>
    <w:rsid w:val="00097BFE"/>
    <w:rsid w:val="000A4061"/>
    <w:rsid w:val="000A5C18"/>
    <w:rsid w:val="000C29FC"/>
    <w:rsid w:val="000F05B0"/>
    <w:rsid w:val="001062FA"/>
    <w:rsid w:val="0012215E"/>
    <w:rsid w:val="00147B9D"/>
    <w:rsid w:val="00151223"/>
    <w:rsid w:val="00154C30"/>
    <w:rsid w:val="00155CD4"/>
    <w:rsid w:val="001759C7"/>
    <w:rsid w:val="0017754B"/>
    <w:rsid w:val="00181FD2"/>
    <w:rsid w:val="00184391"/>
    <w:rsid w:val="00186248"/>
    <w:rsid w:val="0018772A"/>
    <w:rsid w:val="001937E2"/>
    <w:rsid w:val="00195ED0"/>
    <w:rsid w:val="001A1C49"/>
    <w:rsid w:val="001B6DAF"/>
    <w:rsid w:val="001C0397"/>
    <w:rsid w:val="001C5BB7"/>
    <w:rsid w:val="001C6677"/>
    <w:rsid w:val="001D5C07"/>
    <w:rsid w:val="001D66D9"/>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0E1D"/>
    <w:rsid w:val="00281D13"/>
    <w:rsid w:val="00281D85"/>
    <w:rsid w:val="0028332F"/>
    <w:rsid w:val="002852BC"/>
    <w:rsid w:val="002A4553"/>
    <w:rsid w:val="002B1439"/>
    <w:rsid w:val="002B3652"/>
    <w:rsid w:val="002D158D"/>
    <w:rsid w:val="002F1E18"/>
    <w:rsid w:val="002F68FB"/>
    <w:rsid w:val="00301533"/>
    <w:rsid w:val="00310E75"/>
    <w:rsid w:val="00311382"/>
    <w:rsid w:val="00322724"/>
    <w:rsid w:val="00330E97"/>
    <w:rsid w:val="0033361D"/>
    <w:rsid w:val="0033607D"/>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21AD1"/>
    <w:rsid w:val="0043037B"/>
    <w:rsid w:val="004406D1"/>
    <w:rsid w:val="004416D9"/>
    <w:rsid w:val="0044542C"/>
    <w:rsid w:val="004538CF"/>
    <w:rsid w:val="00454DC0"/>
    <w:rsid w:val="004605BC"/>
    <w:rsid w:val="00464B7F"/>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C4064"/>
    <w:rsid w:val="005D3ED6"/>
    <w:rsid w:val="005F6C16"/>
    <w:rsid w:val="0062684D"/>
    <w:rsid w:val="00627065"/>
    <w:rsid w:val="00667E99"/>
    <w:rsid w:val="00670670"/>
    <w:rsid w:val="00670925"/>
    <w:rsid w:val="00671D3E"/>
    <w:rsid w:val="00677F6F"/>
    <w:rsid w:val="00681EA2"/>
    <w:rsid w:val="00686874"/>
    <w:rsid w:val="006960BA"/>
    <w:rsid w:val="006A2EAE"/>
    <w:rsid w:val="006B4345"/>
    <w:rsid w:val="006B54C4"/>
    <w:rsid w:val="006C0B18"/>
    <w:rsid w:val="006C5282"/>
    <w:rsid w:val="006D73A7"/>
    <w:rsid w:val="006F35DF"/>
    <w:rsid w:val="007076F6"/>
    <w:rsid w:val="0071196D"/>
    <w:rsid w:val="0071532E"/>
    <w:rsid w:val="00715BE4"/>
    <w:rsid w:val="0072235A"/>
    <w:rsid w:val="00724678"/>
    <w:rsid w:val="00740D9E"/>
    <w:rsid w:val="007513EA"/>
    <w:rsid w:val="00751964"/>
    <w:rsid w:val="0076086D"/>
    <w:rsid w:val="00767A64"/>
    <w:rsid w:val="00772B00"/>
    <w:rsid w:val="00780AAB"/>
    <w:rsid w:val="007832F8"/>
    <w:rsid w:val="00784CE9"/>
    <w:rsid w:val="00793012"/>
    <w:rsid w:val="007A4927"/>
    <w:rsid w:val="007C06A0"/>
    <w:rsid w:val="007C5278"/>
    <w:rsid w:val="007D112B"/>
    <w:rsid w:val="007D61D3"/>
    <w:rsid w:val="007F652D"/>
    <w:rsid w:val="008067E1"/>
    <w:rsid w:val="00811F2B"/>
    <w:rsid w:val="00826759"/>
    <w:rsid w:val="00835EA1"/>
    <w:rsid w:val="00840D9E"/>
    <w:rsid w:val="0084604B"/>
    <w:rsid w:val="0084676C"/>
    <w:rsid w:val="008523B9"/>
    <w:rsid w:val="00852898"/>
    <w:rsid w:val="00855D8D"/>
    <w:rsid w:val="00865A7A"/>
    <w:rsid w:val="00874FD2"/>
    <w:rsid w:val="00882F6E"/>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2421"/>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C7D1F"/>
    <w:rsid w:val="009D3EDB"/>
    <w:rsid w:val="009D4C13"/>
    <w:rsid w:val="009E2780"/>
    <w:rsid w:val="009E3D06"/>
    <w:rsid w:val="009E713F"/>
    <w:rsid w:val="009F1742"/>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AE511E"/>
    <w:rsid w:val="00B13616"/>
    <w:rsid w:val="00B14C98"/>
    <w:rsid w:val="00B34914"/>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3D4B"/>
    <w:rsid w:val="00DE571A"/>
    <w:rsid w:val="00DF63AF"/>
    <w:rsid w:val="00E007BB"/>
    <w:rsid w:val="00E06EE6"/>
    <w:rsid w:val="00E259AB"/>
    <w:rsid w:val="00E45F57"/>
    <w:rsid w:val="00E574BA"/>
    <w:rsid w:val="00E9059E"/>
    <w:rsid w:val="00E93C9A"/>
    <w:rsid w:val="00EA0473"/>
    <w:rsid w:val="00EA0F56"/>
    <w:rsid w:val="00EA4A0A"/>
    <w:rsid w:val="00EA7555"/>
    <w:rsid w:val="00EB5F76"/>
    <w:rsid w:val="00EB6926"/>
    <w:rsid w:val="00EC0293"/>
    <w:rsid w:val="00EC342B"/>
    <w:rsid w:val="00EC5B48"/>
    <w:rsid w:val="00ED0183"/>
    <w:rsid w:val="00ED0776"/>
    <w:rsid w:val="00ED1A2E"/>
    <w:rsid w:val="00ED3309"/>
    <w:rsid w:val="00EE2B0A"/>
    <w:rsid w:val="00EE44FF"/>
    <w:rsid w:val="00EE510B"/>
    <w:rsid w:val="00EF1003"/>
    <w:rsid w:val="00EF3893"/>
    <w:rsid w:val="00EF3B74"/>
    <w:rsid w:val="00F000E8"/>
    <w:rsid w:val="00F00AD4"/>
    <w:rsid w:val="00F06131"/>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885147556">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1868</Words>
  <Characters>10649</Characters>
  <Application>Microsoft Office Word</Application>
  <DocSecurity>0</DocSecurity>
  <Lines>88</Lines>
  <Paragraphs>24</Paragraphs>
  <ScaleCrop>false</ScaleCrop>
  <Company>微软中国</Company>
  <LinksUpToDate>false</LinksUpToDate>
  <CharactersWithSpaces>12493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9</cp:revision>
  <dcterms:created xsi:type="dcterms:W3CDTF">2017-06-16T04:06:00Z</dcterms:created>
  <dcterms:modified xsi:type="dcterms:W3CDTF">2017-06-28T02:11:00Z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